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438CC" w14:textId="77777777" w:rsidR="009443EB" w:rsidRPr="009443EB" w:rsidRDefault="009443EB" w:rsidP="009443EB">
      <w:pPr>
        <w:spacing w:after="0" w:line="240" w:lineRule="auto"/>
        <w:jc w:val="center"/>
        <w:outlineLvl w:val="1"/>
        <w:rPr>
          <w:rFonts w:ascii="Times New Roman" w:eastAsia="Times New Roman" w:hAnsi="Times New Roman"/>
          <w:b/>
          <w:bCs/>
          <w:lang w:eastAsia="pl-PL"/>
        </w:rPr>
      </w:pPr>
      <w:r w:rsidRPr="009443EB">
        <w:rPr>
          <w:rFonts w:ascii="Times New Roman" w:eastAsia="Times New Roman" w:hAnsi="Times New Roman"/>
          <w:b/>
          <w:bCs/>
          <w:lang w:eastAsia="pl-PL"/>
        </w:rPr>
        <w:t xml:space="preserve">Komunikat dla stowarzyszeń oraz fundacji </w:t>
      </w:r>
    </w:p>
    <w:p w14:paraId="27A3BD95" w14:textId="77777777" w:rsidR="009443EB" w:rsidRPr="009443EB" w:rsidRDefault="009443EB" w:rsidP="009443EB">
      <w:pPr>
        <w:spacing w:after="0" w:line="240" w:lineRule="auto"/>
        <w:jc w:val="center"/>
        <w:outlineLvl w:val="1"/>
        <w:rPr>
          <w:rFonts w:ascii="Times New Roman" w:eastAsia="Times New Roman" w:hAnsi="Times New Roman"/>
          <w:b/>
          <w:bCs/>
          <w:lang w:eastAsia="pl-PL"/>
        </w:rPr>
      </w:pPr>
      <w:r w:rsidRPr="009443EB">
        <w:rPr>
          <w:rFonts w:ascii="Times New Roman" w:eastAsia="Times New Roman" w:hAnsi="Times New Roman"/>
          <w:b/>
          <w:bCs/>
          <w:lang w:eastAsia="pl-PL"/>
        </w:rPr>
        <w:t>wynikający z ustawy o przeciwdziałaniu praniu pieniędzy i finansowaniu terroryzmu.</w:t>
      </w:r>
    </w:p>
    <w:p w14:paraId="4FACBDF1" w14:textId="77777777" w:rsidR="009443EB" w:rsidRPr="009443EB" w:rsidRDefault="009443EB" w:rsidP="009443EB">
      <w:pPr>
        <w:spacing w:after="0" w:line="240" w:lineRule="auto"/>
        <w:jc w:val="both"/>
        <w:rPr>
          <w:rFonts w:ascii="Times New Roman" w:eastAsia="Times New Roman" w:hAnsi="Times New Roman"/>
          <w:b/>
          <w:bCs/>
          <w:lang w:eastAsia="pl-PL"/>
        </w:rPr>
      </w:pPr>
    </w:p>
    <w:p w14:paraId="30FFA4F6"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b/>
          <w:bCs/>
          <w:lang w:eastAsia="pl-PL"/>
        </w:rPr>
        <w:t xml:space="preserve">Obowiązki stowarzyszeń i fundacji wynikające z nowej ustawy o przeciwdziałaniu praniu pieniędzy i finansowaniu terroryzmu </w:t>
      </w:r>
    </w:p>
    <w:p w14:paraId="5A68461C" w14:textId="77777777" w:rsidR="009443EB" w:rsidRPr="009443EB" w:rsidRDefault="009443EB" w:rsidP="009443EB">
      <w:pPr>
        <w:spacing w:after="0" w:line="240" w:lineRule="auto"/>
        <w:jc w:val="both"/>
        <w:rPr>
          <w:rFonts w:ascii="Times New Roman" w:eastAsia="Times New Roman" w:hAnsi="Times New Roman"/>
          <w:lang w:eastAsia="pl-PL"/>
        </w:rPr>
      </w:pPr>
    </w:p>
    <w:p w14:paraId="6D568AB8" w14:textId="781539F8"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 xml:space="preserve">Z dniem 13 lipca 2018 r. weszły w życie przepisy nowej ustawy z dnia 1 marca 2018 r. o przeciwdziałaniu praniu pieniędzy oraz finansowaniu terroryzmu (Dz. U. </w:t>
      </w:r>
      <w:r w:rsidR="005D5C84">
        <w:rPr>
          <w:rFonts w:ascii="Times New Roman" w:eastAsia="Times New Roman" w:hAnsi="Times New Roman"/>
          <w:lang w:eastAsia="pl-PL"/>
        </w:rPr>
        <w:t xml:space="preserve">z 2018 r., </w:t>
      </w:r>
      <w:r w:rsidRPr="009443EB">
        <w:rPr>
          <w:rFonts w:ascii="Times New Roman" w:eastAsia="Times New Roman" w:hAnsi="Times New Roman"/>
          <w:lang w:eastAsia="pl-PL"/>
        </w:rPr>
        <w:t xml:space="preserve">poz. 723 z </w:t>
      </w:r>
      <w:proofErr w:type="spellStart"/>
      <w:r w:rsidRPr="009443EB">
        <w:rPr>
          <w:rFonts w:ascii="Times New Roman" w:eastAsia="Times New Roman" w:hAnsi="Times New Roman"/>
          <w:lang w:eastAsia="pl-PL"/>
        </w:rPr>
        <w:t>późn</w:t>
      </w:r>
      <w:proofErr w:type="spellEnd"/>
      <w:r w:rsidRPr="009443EB">
        <w:rPr>
          <w:rFonts w:ascii="Times New Roman" w:eastAsia="Times New Roman" w:hAnsi="Times New Roman"/>
          <w:lang w:eastAsia="pl-PL"/>
        </w:rPr>
        <w:t>. zm.). Celem ustawy jest dostosowanie prawa krajowego do unijnych dyrektyw, a także zwiększenie efektywności systemu przeciwdziałania praniu pieniędzy oraz finansowaniu terroryzmu.</w:t>
      </w:r>
    </w:p>
    <w:p w14:paraId="2C1499EC"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Ustawa wprowadza nowy katalog „instytucji obowiązanych”, na których ciąży obowiązek stosowania środków bezpieczeństwa finansowego oraz inne obowiązki związane z podejmowaniem określonych działań w celu przeciwdziałania wprowadzania do obrotu wartości majątkowych pochodzących z nielegalnych lub nieujawnionych źródeł.</w:t>
      </w:r>
    </w:p>
    <w:p w14:paraId="2D61CDEC"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b/>
          <w:bCs/>
          <w:lang w:eastAsia="pl-PL"/>
        </w:rPr>
        <w:t xml:space="preserve">Do instytucji obowiązanych zalicza się m.in. </w:t>
      </w:r>
    </w:p>
    <w:p w14:paraId="1C25B2C0" w14:textId="77777777" w:rsidR="009443EB" w:rsidRPr="009443EB" w:rsidRDefault="009443EB" w:rsidP="009443EB">
      <w:pPr>
        <w:numPr>
          <w:ilvl w:val="0"/>
          <w:numId w:val="1"/>
        </w:numPr>
        <w:spacing w:after="0" w:line="240" w:lineRule="auto"/>
        <w:jc w:val="both"/>
        <w:rPr>
          <w:rFonts w:ascii="Times New Roman" w:eastAsia="Times New Roman" w:hAnsi="Times New Roman"/>
          <w:lang w:eastAsia="pl-PL"/>
        </w:rPr>
      </w:pPr>
      <w:r w:rsidRPr="009443EB">
        <w:rPr>
          <w:rFonts w:ascii="Times New Roman" w:eastAsia="Times New Roman" w:hAnsi="Times New Roman"/>
          <w:b/>
          <w:bCs/>
          <w:lang w:eastAsia="pl-PL"/>
        </w:rPr>
        <w:t>fundacje</w:t>
      </w:r>
      <w:r w:rsidRPr="009443EB">
        <w:rPr>
          <w:rFonts w:ascii="Times New Roman" w:eastAsia="Times New Roman" w:hAnsi="Times New Roman"/>
          <w:lang w:eastAsia="pl-PL"/>
        </w:rPr>
        <w:t xml:space="preserve"> ustanowione na podstawie ustawy z dnia 6 kwietnia 1984 r. o fundacjach (Dz. U. z 2018 r. poz. 1491) w zakresie, w jakim przyjmują lub dokonują płatności w gotówce o wartości równej lub przekraczającej równowartość 10 000 euro, bez względu na to, czy płatność jest przeprowadzana jako pojedyncza operacja, czy kilka operacji, które wydają się ze sobą powiązane – </w:t>
      </w:r>
      <w:r w:rsidRPr="009443EB">
        <w:rPr>
          <w:rFonts w:ascii="Times New Roman" w:eastAsia="Times New Roman" w:hAnsi="Times New Roman"/>
          <w:b/>
          <w:bCs/>
          <w:lang w:eastAsia="pl-PL"/>
        </w:rPr>
        <w:t xml:space="preserve">2 ust. 1 pkt 21 ustawy, </w:t>
      </w:r>
    </w:p>
    <w:p w14:paraId="6D472552" w14:textId="77777777" w:rsidR="009443EB" w:rsidRPr="009443EB" w:rsidRDefault="009443EB" w:rsidP="009443EB">
      <w:pPr>
        <w:numPr>
          <w:ilvl w:val="0"/>
          <w:numId w:val="1"/>
        </w:numPr>
        <w:spacing w:after="0" w:line="240" w:lineRule="auto"/>
        <w:jc w:val="both"/>
        <w:rPr>
          <w:rFonts w:ascii="Times New Roman" w:eastAsia="Times New Roman" w:hAnsi="Times New Roman"/>
          <w:lang w:eastAsia="pl-PL"/>
        </w:rPr>
      </w:pPr>
      <w:r w:rsidRPr="009443EB">
        <w:rPr>
          <w:rFonts w:ascii="Times New Roman" w:eastAsia="Times New Roman" w:hAnsi="Times New Roman"/>
          <w:b/>
          <w:bCs/>
          <w:lang w:eastAsia="pl-PL"/>
        </w:rPr>
        <w:t>stowarzyszenia</w:t>
      </w:r>
      <w:r w:rsidRPr="009443EB">
        <w:rPr>
          <w:rFonts w:ascii="Times New Roman" w:eastAsia="Times New Roman" w:hAnsi="Times New Roman"/>
          <w:lang w:eastAsia="pl-PL"/>
        </w:rPr>
        <w:t xml:space="preserve"> posiadające osobowość prawną, utworzone na podstawie ustawy z dnia 7 kwietnia 1989 r. – Prawo o stowarzyszeniach (Dz. U. z 2017 r. poz. 210 z </w:t>
      </w:r>
      <w:proofErr w:type="spellStart"/>
      <w:r w:rsidRPr="009443EB">
        <w:rPr>
          <w:rFonts w:ascii="Times New Roman" w:eastAsia="Times New Roman" w:hAnsi="Times New Roman"/>
          <w:lang w:eastAsia="pl-PL"/>
        </w:rPr>
        <w:t>późn</w:t>
      </w:r>
      <w:proofErr w:type="spellEnd"/>
      <w:r w:rsidRPr="009443EB">
        <w:rPr>
          <w:rFonts w:ascii="Times New Roman" w:eastAsia="Times New Roman" w:hAnsi="Times New Roman"/>
          <w:lang w:eastAsia="pl-PL"/>
        </w:rPr>
        <w:t xml:space="preserve">. zm.), w zakresie, w jakim przyjmują lub dokonują płatności w gotówce o wartości równej lub przekraczającej równowartość 10 000 euro, bez względu na to, czy płatność jest przeprowadzana jako pojedyncza operacja, czy kilka operacji, które wydają się ze sobą powiązane – </w:t>
      </w:r>
      <w:r w:rsidRPr="009443EB">
        <w:rPr>
          <w:rFonts w:ascii="Times New Roman" w:eastAsia="Times New Roman" w:hAnsi="Times New Roman"/>
          <w:b/>
          <w:bCs/>
          <w:lang w:eastAsia="pl-PL"/>
        </w:rPr>
        <w:t>2 ust. 1 pkt 22 ustawy.</w:t>
      </w:r>
    </w:p>
    <w:p w14:paraId="5D6FB61F"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 xml:space="preserve">Jednocześnie należy zwrócić uwagę, że zgodnie z art. 2 ust. 1 pkt 20 instytucją obowiązaną jest również podmiot, który prowadzi działalność w zakresie gier losowych w rozumieniu ustawy z dnia 19 listopada 2009 r. o grach hazardowych (Dz.U. z 2018 r. poz. 165 z </w:t>
      </w:r>
      <w:proofErr w:type="spellStart"/>
      <w:r w:rsidRPr="009443EB">
        <w:rPr>
          <w:rFonts w:ascii="Times New Roman" w:eastAsia="Times New Roman" w:hAnsi="Times New Roman"/>
          <w:lang w:eastAsia="pl-PL"/>
        </w:rPr>
        <w:t>późn</w:t>
      </w:r>
      <w:proofErr w:type="spellEnd"/>
      <w:r w:rsidRPr="009443EB">
        <w:rPr>
          <w:rFonts w:ascii="Times New Roman" w:eastAsia="Times New Roman" w:hAnsi="Times New Roman"/>
          <w:lang w:eastAsia="pl-PL"/>
        </w:rPr>
        <w:t>. zm.) – taką grą jest przykładowo charytatywna gra fantowa, popularna wśród organizacji pozarządowych.</w:t>
      </w:r>
    </w:p>
    <w:p w14:paraId="21AA9C81"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b/>
          <w:bCs/>
          <w:lang w:eastAsia="pl-PL"/>
        </w:rPr>
        <w:t>Do obowiązków instytucji obowiązanych należy m.in.:</w:t>
      </w:r>
    </w:p>
    <w:p w14:paraId="2942C127"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wyznaczenie spośród członków zarządu osoby odpowiedzialnej za wdrożenie obowiązków określonych w ustawie (art. 7),</w:t>
      </w:r>
    </w:p>
    <w:p w14:paraId="00F8C92B"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wyznaczenie pracownika zajmującego kierownicze stanowisko odpowiedzialnego za zapewnienie zgodności działalności instytucji obowiązanej oraz jej pracowników i innych osób wykonujących czynności na rzecz instytucji obowiązanej z przepisami o przeciwdziałaniu praniu pieniędzy oraz finansowaniu terroryzmu. Wyznaczony pracownik jest również odpowiedzialny za przekazywanie w imieniu instytucji obowiązanej Generalnemu Inspektorowi Informacji Finansowej, zawiadomień o transakcjach (art.8),</w:t>
      </w:r>
    </w:p>
    <w:p w14:paraId="634A1B7C"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identyfikacja i ocena ryzyka związanego z praniem pieniędzy i finansowaniem terroryzmu odnoszącego się do działalności fundacji i stowarzyszeń oraz sporządzanie w postaci papierowej lub elektronicznej oceny tego ryzyka (art. 27),</w:t>
      </w:r>
    </w:p>
    <w:p w14:paraId="2D0D4BFA"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stosowanie środków bezpieczeństwa finansowego wobec klientów fundacji i stowarzyszeń(art. 33 – 37, art. 39 i art. 41),</w:t>
      </w:r>
    </w:p>
    <w:p w14:paraId="72287249"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stosowanie wzmożonych środków bezpieczeństwa finansowego w przypadkach wyższego ryzyka prania pieniędzy lub finansowania terroryzmu (art. 43, art. 44 i art. 46),</w:t>
      </w:r>
    </w:p>
    <w:p w14:paraId="14B54AC4"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dokumentowanie zastosowanych środków bezpieczeństwa finansowego oraz wyników bieżącej analizy przeprowadzanych transakcji (art. 34 ust. 3),</w:t>
      </w:r>
    </w:p>
    <w:p w14:paraId="0A01F894"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prowadzenia bieżącej analizy przeprowadzanych transakcji, w stosunku do klientów wobec, których stosuje się wzmożone środki bezpieczeństwa finansowego (art. 43 ust. 3),</w:t>
      </w:r>
    </w:p>
    <w:p w14:paraId="08AA0229"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podejmowanie działań określonych w art. 43 ust. 4 w przypadku ujawnienia transakcji nietypowej, nienaturalnie złożonej oraz opiewającej na wysokie kwoty, które wydają się nie mieć uzasadnienia prawnego lub gospodarczego,</w:t>
      </w:r>
    </w:p>
    <w:p w14:paraId="7D21A1CD"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przechowywanie dokumentacji uzyskanej w wyniku stosowania środków bezpieczeństwa finansowego oraz dowodów m.in. potwierdzających przeprowadzane transakcje (art. 49),</w:t>
      </w:r>
    </w:p>
    <w:p w14:paraId="0E493D8C"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lastRenderedPageBreak/>
        <w:t>wprowadzenie wewnętrznej procedury w zakresie przeciwdziałania praniu pieniędzy oraz finasowaniu terroryzmu (art. 50),</w:t>
      </w:r>
    </w:p>
    <w:p w14:paraId="2ACAD1F1"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przekazywanie do Generalnego Inspektora Informacji Finansowej informacji o przyjętej wpłacie lub dokonanej wypłacie środków pieniężnych o równowartości przekraczającej 15 000 euro (art. 72 ust. 1 pkt 1),</w:t>
      </w:r>
    </w:p>
    <w:p w14:paraId="41E4D93A"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zawiadamianie w trybie i na zasadach określonych w ustawie Generalnego Inspektora Informacji Finansowej o okolicznościach, które mogą wskazywać na podejrzenie popełnienia przestępstwa prania pieniędzy lub finansowania terroryzmu (art. 74),</w:t>
      </w:r>
    </w:p>
    <w:p w14:paraId="036E5546"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wstrzymywanie transakcji w trybie i na zasadach określonych w ustawie (art. 86),</w:t>
      </w:r>
    </w:p>
    <w:p w14:paraId="3ACA11AE" w14:textId="77777777" w:rsidR="009443EB" w:rsidRPr="009443EB" w:rsidRDefault="009443EB" w:rsidP="009443EB">
      <w:pPr>
        <w:numPr>
          <w:ilvl w:val="0"/>
          <w:numId w:val="2"/>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stosowanie szczególnych środków ograniczających wobec osób i podmiotów określonych</w:t>
      </w:r>
      <w:r w:rsidRPr="009443EB">
        <w:rPr>
          <w:rFonts w:ascii="Times New Roman" w:eastAsia="Times New Roman" w:hAnsi="Times New Roman"/>
          <w:lang w:eastAsia="pl-PL"/>
        </w:rPr>
        <w:br/>
        <w:t>w ustawie (art. 117).</w:t>
      </w:r>
    </w:p>
    <w:p w14:paraId="75152357"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Zgodnie z art. 130 ustawy, fundacje oraz stowarzyszenia będące instytucjami obowiązanymi w rozumieniu ustawy, podlegają kontroli wykonywania ww. obowiązków. Kontrolę sprawuje:</w:t>
      </w:r>
    </w:p>
    <w:p w14:paraId="46F9A65C" w14:textId="77777777" w:rsidR="009443EB" w:rsidRPr="009443EB" w:rsidRDefault="009443EB" w:rsidP="009443EB">
      <w:pPr>
        <w:numPr>
          <w:ilvl w:val="0"/>
          <w:numId w:val="3"/>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Generalny Inspektor Informacji Finansowej będący równocześnie koordynatorem kontroli,</w:t>
      </w:r>
    </w:p>
    <w:p w14:paraId="726FE4AC" w14:textId="77777777" w:rsidR="009443EB" w:rsidRPr="009443EB" w:rsidRDefault="009443EB" w:rsidP="009443EB">
      <w:pPr>
        <w:numPr>
          <w:ilvl w:val="0"/>
          <w:numId w:val="3"/>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naczelnicy urzędów celno-skarbowych,</w:t>
      </w:r>
    </w:p>
    <w:p w14:paraId="49A47EBD" w14:textId="77777777" w:rsidR="009443EB" w:rsidRPr="009443EB" w:rsidRDefault="009443EB" w:rsidP="009443EB">
      <w:pPr>
        <w:numPr>
          <w:ilvl w:val="0"/>
          <w:numId w:val="3"/>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właściwy minister lub starosta w przypadku fundacji – na zasadach określonych w ustawie o fundacjach,</w:t>
      </w:r>
    </w:p>
    <w:p w14:paraId="469EF3FF" w14:textId="77777777" w:rsidR="009443EB" w:rsidRPr="009443EB" w:rsidRDefault="009443EB" w:rsidP="009443EB">
      <w:pPr>
        <w:numPr>
          <w:ilvl w:val="0"/>
          <w:numId w:val="3"/>
        </w:num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wojewoda lub starosta w przypadku stowarzyszeń – na zasadach określonych w ustawie Prawo o stowarzyszeń.</w:t>
      </w:r>
    </w:p>
    <w:p w14:paraId="5B036796"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Kontrola, może być przeprowadzona w zakresie i na zasadach określonych w ustawie przez ww. organy na podstawie rocznego planu kontroli bądź doraźnie. Przedmiotowa kontrola może być realizowana przez co najmniej dwóch imiennie upoważnionych przez ww. organ pracowników/kontrolerów (art. 131 i art. 132). Szczegółowy zakres upoważnienia do kontroli określa ustawa w art. 133 ust. 2.</w:t>
      </w:r>
    </w:p>
    <w:p w14:paraId="2CA9B930"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Z przeprowadzonej kontroli sporządzany jest protokół pokontrolny (art. 141) oraz wystąpienie pokontrolne zawierające m.in. zalecenia pokontrolne (art. 142).</w:t>
      </w:r>
    </w:p>
    <w:p w14:paraId="06323C29" w14:textId="77777777" w:rsidR="009443EB" w:rsidRPr="009443EB" w:rsidRDefault="009443EB" w:rsidP="009443EB">
      <w:pPr>
        <w:spacing w:after="0" w:line="240" w:lineRule="auto"/>
        <w:jc w:val="both"/>
        <w:rPr>
          <w:rFonts w:ascii="Times New Roman" w:eastAsia="Times New Roman" w:hAnsi="Times New Roman"/>
          <w:lang w:eastAsia="pl-PL"/>
        </w:rPr>
      </w:pPr>
      <w:r w:rsidRPr="009443EB">
        <w:rPr>
          <w:rFonts w:ascii="Times New Roman" w:eastAsia="Times New Roman" w:hAnsi="Times New Roman"/>
          <w:lang w:eastAsia="pl-PL"/>
        </w:rPr>
        <w:t>W przypadku niedopełnienia przez instytucje obowiązane obowiązków nałożonych ustawą, przewidziane są kary administracyjne określone w art. 150 ustawy. Kary w drodze decyzji administracyjnej nakłada Generalny Inspektor Informacji Finansowej.</w:t>
      </w:r>
    </w:p>
    <w:p w14:paraId="503A9C94" w14:textId="77777777" w:rsidR="009443EB" w:rsidRPr="009443EB" w:rsidRDefault="009443EB" w:rsidP="009443EB">
      <w:pPr>
        <w:pStyle w:val="NormalnyWeb"/>
        <w:spacing w:after="0" w:afterAutospacing="0"/>
        <w:jc w:val="both"/>
        <w:rPr>
          <w:sz w:val="22"/>
          <w:szCs w:val="22"/>
        </w:rPr>
      </w:pPr>
      <w:r w:rsidRPr="009443EB">
        <w:rPr>
          <w:sz w:val="22"/>
          <w:szCs w:val="22"/>
        </w:rPr>
        <w:t>Instytucje obowiązane, które nie dopełniają nałożonych przez art. 147, art. 148 i art. 149 ustawy obowiązków podlegają karom administracyjnym. Za niedopełnienie obowiązków nałożonych przepisami ustawy o przeciwdziałaniu praniu pieniędzy oraz finansowaniu terroryzmu, oprócz kar administracyjnych, grozi również odpowiedzialność karna.</w:t>
      </w:r>
    </w:p>
    <w:p w14:paraId="7395AFA1" w14:textId="43CC1BB9" w:rsidR="009443EB" w:rsidRPr="005D5C84" w:rsidRDefault="005D5C84" w:rsidP="009443EB">
      <w:pPr>
        <w:pStyle w:val="NormalnyWeb"/>
        <w:spacing w:after="0" w:afterAutospacing="0"/>
        <w:jc w:val="both"/>
        <w:rPr>
          <w:sz w:val="22"/>
          <w:szCs w:val="22"/>
        </w:rPr>
      </w:pPr>
      <w:r>
        <w:rPr>
          <w:sz w:val="22"/>
          <w:szCs w:val="22"/>
        </w:rPr>
        <w:t xml:space="preserve">W związku z powyższym Starosta Żuromiński w ramach sprawowanego nadzoru i kontroli nad fundacjami i stowarzyszeniami Powiatu Żuromińskiego, jako instytucjami obowiązanymi w rozumieniu przepisów ustawy z dnia 1 marca 2018 r. o przeciwdziałaniu praniu pieniędzy oraz finansowaniu terroryzmu zwraca się z prośbą o przesyłanie informacji dotyczących przyjmowania i dokonywania przez fundacje/stowarzyszenia płatności w gotówce o wartości równej lub przekraczającej równowartość 10 000 euro, bez względu na to, czy płatność jest przeprowadzana jako pojedyncza operacja, czy kilka operacji, które wydają się ze sobą powiązane. Informację proszę przesyłać każdego roku w terminie do dnia 31 października. W roku 2018 proszę o przekazanie informacji do </w:t>
      </w:r>
      <w:r w:rsidRPr="005D5C84">
        <w:rPr>
          <w:b/>
          <w:sz w:val="22"/>
          <w:szCs w:val="22"/>
        </w:rPr>
        <w:t>27 grudnia 2018 r. do godz. 15.30</w:t>
      </w:r>
      <w:r>
        <w:rPr>
          <w:b/>
          <w:sz w:val="22"/>
          <w:szCs w:val="22"/>
        </w:rPr>
        <w:t xml:space="preserve"> </w:t>
      </w:r>
      <w:r w:rsidRPr="005D5C84">
        <w:rPr>
          <w:sz w:val="22"/>
          <w:szCs w:val="22"/>
        </w:rPr>
        <w:t>(dopuszczalna jest forma korespondencji elektronicznej</w:t>
      </w:r>
      <w:r>
        <w:rPr>
          <w:b/>
          <w:sz w:val="22"/>
          <w:szCs w:val="22"/>
        </w:rPr>
        <w:t xml:space="preserve"> </w:t>
      </w:r>
      <w:r>
        <w:rPr>
          <w:sz w:val="22"/>
          <w:szCs w:val="22"/>
        </w:rPr>
        <w:t xml:space="preserve">na adres </w:t>
      </w:r>
      <w:r w:rsidRPr="005D5C84">
        <w:rPr>
          <w:sz w:val="22"/>
          <w:szCs w:val="22"/>
        </w:rPr>
        <w:t>e-mail</w:t>
      </w:r>
      <w:r>
        <w:rPr>
          <w:sz w:val="22"/>
          <w:szCs w:val="22"/>
        </w:rPr>
        <w:t xml:space="preserve">: </w:t>
      </w:r>
      <w:hyperlink r:id="rId6" w:history="1">
        <w:r w:rsidRPr="006622DD">
          <w:rPr>
            <w:rStyle w:val="Hipercze"/>
            <w:sz w:val="22"/>
            <w:szCs w:val="22"/>
          </w:rPr>
          <w:t>poczta@zuromin-powiat.pl</w:t>
        </w:r>
      </w:hyperlink>
      <w:r>
        <w:rPr>
          <w:sz w:val="22"/>
          <w:szCs w:val="22"/>
        </w:rPr>
        <w:t xml:space="preserve"> ).</w:t>
      </w:r>
    </w:p>
    <w:p w14:paraId="507FB9D6" w14:textId="07C97EBD" w:rsidR="009443EB" w:rsidRPr="009443EB" w:rsidRDefault="00A6570B" w:rsidP="009443EB">
      <w:pPr>
        <w:spacing w:after="0" w:line="240" w:lineRule="auto"/>
        <w:ind w:left="6372"/>
        <w:jc w:val="both"/>
        <w:rPr>
          <w:rFonts w:ascii="Times New Roman" w:hAnsi="Times New Roman"/>
        </w:rPr>
      </w:pPr>
      <w:r>
        <w:rPr>
          <w:rFonts w:ascii="Times New Roman" w:hAnsi="Times New Roman"/>
        </w:rPr>
        <w:t>Starost</w:t>
      </w:r>
      <w:bookmarkStart w:id="0" w:name="_GoBack"/>
      <w:bookmarkEnd w:id="0"/>
      <w:r w:rsidR="009443EB" w:rsidRPr="009443EB">
        <w:rPr>
          <w:rFonts w:ascii="Times New Roman" w:hAnsi="Times New Roman"/>
        </w:rPr>
        <w:t>a Żuromiński</w:t>
      </w:r>
    </w:p>
    <w:p w14:paraId="4F091471" w14:textId="77777777" w:rsidR="009443EB" w:rsidRPr="009443EB" w:rsidRDefault="009443EB" w:rsidP="009443EB">
      <w:pPr>
        <w:spacing w:after="0" w:line="240" w:lineRule="auto"/>
        <w:ind w:left="6372"/>
        <w:jc w:val="both"/>
        <w:rPr>
          <w:rFonts w:ascii="Times New Roman" w:hAnsi="Times New Roman"/>
        </w:rPr>
      </w:pPr>
      <w:r w:rsidRPr="009443EB">
        <w:rPr>
          <w:rFonts w:ascii="Times New Roman" w:hAnsi="Times New Roman"/>
        </w:rPr>
        <w:t xml:space="preserve">    Jerzy Rzymowski</w:t>
      </w:r>
    </w:p>
    <w:p w14:paraId="11F99D64" w14:textId="77777777" w:rsidR="002367EF" w:rsidRPr="009443EB" w:rsidRDefault="002367EF"/>
    <w:sectPr w:rsidR="002367EF" w:rsidRPr="00944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2AC"/>
    <w:multiLevelType w:val="multilevel"/>
    <w:tmpl w:val="17069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760696"/>
    <w:multiLevelType w:val="multilevel"/>
    <w:tmpl w:val="BF64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E531DF"/>
    <w:multiLevelType w:val="multilevel"/>
    <w:tmpl w:val="DB945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91"/>
    <w:rsid w:val="00171C91"/>
    <w:rsid w:val="002367EF"/>
    <w:rsid w:val="003348B1"/>
    <w:rsid w:val="003E285F"/>
    <w:rsid w:val="0051578F"/>
    <w:rsid w:val="005670A4"/>
    <w:rsid w:val="005D5C84"/>
    <w:rsid w:val="007F67C6"/>
    <w:rsid w:val="009443EB"/>
    <w:rsid w:val="00A6570B"/>
    <w:rsid w:val="00EF49F8"/>
    <w:rsid w:val="00EF7A76"/>
    <w:rsid w:val="00F90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3E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43E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5D5C84"/>
    <w:rPr>
      <w:color w:val="0563C1" w:themeColor="hyperlink"/>
      <w:u w:val="single"/>
    </w:rPr>
  </w:style>
  <w:style w:type="character" w:customStyle="1" w:styleId="UnresolvedMention">
    <w:name w:val="Unresolved Mention"/>
    <w:basedOn w:val="Domylnaczcionkaakapitu"/>
    <w:uiPriority w:val="99"/>
    <w:semiHidden/>
    <w:unhideWhenUsed/>
    <w:rsid w:val="005D5C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3E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43E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5D5C84"/>
    <w:rPr>
      <w:color w:val="0563C1" w:themeColor="hyperlink"/>
      <w:u w:val="single"/>
    </w:rPr>
  </w:style>
  <w:style w:type="character" w:customStyle="1" w:styleId="UnresolvedMention">
    <w:name w:val="Unresolved Mention"/>
    <w:basedOn w:val="Domylnaczcionkaakapitu"/>
    <w:uiPriority w:val="99"/>
    <w:semiHidden/>
    <w:unhideWhenUsed/>
    <w:rsid w:val="005D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zta@zuromin-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1057</Words>
  <Characters>6342</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Jackowska</dc:creator>
  <cp:keywords/>
  <dc:description/>
  <cp:lastModifiedBy>Sylwia Warzyńska</cp:lastModifiedBy>
  <cp:revision>5</cp:revision>
  <dcterms:created xsi:type="dcterms:W3CDTF">2018-12-19T08:51:00Z</dcterms:created>
  <dcterms:modified xsi:type="dcterms:W3CDTF">2018-12-20T08:14:00Z</dcterms:modified>
</cp:coreProperties>
</file>